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6585" w14:textId="1B710184" w:rsidR="008C1E0D" w:rsidRPr="00531DA7" w:rsidRDefault="00531DA7" w:rsidP="00531DA7">
      <w:pPr>
        <w:jc w:val="center"/>
        <w:rPr>
          <w:b/>
          <w:bCs/>
          <w:color w:val="215E99" w:themeColor="text2" w:themeTint="BF"/>
          <w:sz w:val="24"/>
          <w:szCs w:val="24"/>
        </w:rPr>
      </w:pPr>
      <w:r w:rsidRPr="00531DA7">
        <w:rPr>
          <w:b/>
          <w:bCs/>
          <w:color w:val="215E99" w:themeColor="text2" w:themeTint="BF"/>
          <w:sz w:val="24"/>
          <w:szCs w:val="24"/>
        </w:rPr>
        <w:t xml:space="preserve">Typologie přístupů ke </w:t>
      </w:r>
      <w:proofErr w:type="spellStart"/>
      <w:r w:rsidRPr="00531DA7">
        <w:rPr>
          <w:b/>
          <w:bCs/>
          <w:color w:val="215E99" w:themeColor="text2" w:themeTint="BF"/>
          <w:sz w:val="24"/>
          <w:szCs w:val="24"/>
        </w:rPr>
        <w:t>costingu</w:t>
      </w:r>
      <w:proofErr w:type="spellEnd"/>
      <w:r w:rsidR="005F2A73">
        <w:rPr>
          <w:rStyle w:val="Znakapoznpodarou"/>
          <w:b/>
          <w:bCs/>
          <w:color w:val="215E99" w:themeColor="text2" w:themeTint="BF"/>
          <w:sz w:val="24"/>
          <w:szCs w:val="24"/>
        </w:rPr>
        <w:footnoteReference w:id="1"/>
      </w:r>
    </w:p>
    <w:p w14:paraId="0F7FF29C" w14:textId="2452F871" w:rsidR="00531DA7" w:rsidRPr="00531DA7" w:rsidRDefault="00531DA7" w:rsidP="003A4DA7">
      <w:pPr>
        <w:jc w:val="both"/>
      </w:pPr>
      <w:r w:rsidRPr="00531DA7">
        <w:rPr>
          <w:b/>
          <w:bCs/>
        </w:rPr>
        <w:t xml:space="preserve">Jednotkové náklady / standardy: </w:t>
      </w:r>
      <w:r w:rsidRPr="00531DA7">
        <w:t xml:space="preserve">Tato kategorie zahrnuje přístupy, kdy je </w:t>
      </w:r>
      <w:proofErr w:type="spellStart"/>
      <w:r w:rsidRPr="00531DA7">
        <w:t>costing</w:t>
      </w:r>
      <w:proofErr w:type="spellEnd"/>
      <w:r w:rsidRPr="00531DA7">
        <w:t xml:space="preserve"> postaven na definici jednotky výstupu (např. „jedna jednotka podpory“, „jedno místo“, „jeden podpořený subjekt“) a přiřazení jednotkové ceny, z níž se odvodí celková částka. V praxi sem spadají jak „tvrdé“ standardizované jednotkové ceny (typové náklady, ceníky, předem dané sazby), tak i měkčí intervence, kdy se historická zkušenost nebo průměrné náklady </w:t>
      </w:r>
      <w:proofErr w:type="gramStart"/>
      <w:r w:rsidRPr="00531DA7">
        <w:t>přepíší</w:t>
      </w:r>
      <w:proofErr w:type="gramEnd"/>
      <w:r w:rsidRPr="00531DA7">
        <w:t xml:space="preserve"> do formátu jednotkové ceny, aby byl </w:t>
      </w:r>
      <w:proofErr w:type="spellStart"/>
      <w:r w:rsidRPr="00531DA7">
        <w:t>costing</w:t>
      </w:r>
      <w:proofErr w:type="spellEnd"/>
      <w:r w:rsidRPr="00531DA7">
        <w:t xml:space="preserve"> jednodušší a lépe navázaný na cíle. Typicky tuto metodu využívají opatření, která mají opakovatelný charakter a jejich výstupy lze kvantifikovat relativně jednoznačně (např. podpora určitého počtu příjemců, dodání určitého počtu jednotek, rozšíření kapacity o definovatelnou jednotku). </w:t>
      </w:r>
    </w:p>
    <w:p w14:paraId="3A8AFBD3" w14:textId="2E37C752" w:rsidR="00531DA7" w:rsidRPr="00531DA7" w:rsidRDefault="00531DA7" w:rsidP="003A4DA7">
      <w:pPr>
        <w:jc w:val="both"/>
      </w:pPr>
      <w:r w:rsidRPr="00531DA7">
        <w:rPr>
          <w:b/>
          <w:bCs/>
        </w:rPr>
        <w:t xml:space="preserve">Historická data / zkušenost: </w:t>
      </w:r>
      <w:r w:rsidRPr="00531DA7">
        <w:t xml:space="preserve">Jde o </w:t>
      </w:r>
      <w:proofErr w:type="spellStart"/>
      <w:r w:rsidRPr="00531DA7">
        <w:t>costing</w:t>
      </w:r>
      <w:proofErr w:type="spellEnd"/>
      <w:r w:rsidRPr="00531DA7">
        <w:t xml:space="preserve"> odvozený z minulých realizací – z historických průměrů, benchmarků z dřívějších programů nebo institucionální zkušenosti s obdobnými intervencemi. Historická metoda je typická pro opatření, která připomínají klasické kohezní intervence nebo opakované dotační mechanismy a kde existuje dostatek minulých dat – např. opatření typu revitalizace/rozvoj území, podpora podnikání, výzkum a inovace atd. Typově tedy historická metoda kryje zejména „klasické“ rozvojové investice a podpory, kde se nákladovost dá odvodit z toho, jak podobné typy projektů fungovaly už dříve. </w:t>
      </w:r>
    </w:p>
    <w:p w14:paraId="1356CC11" w14:textId="428514E4" w:rsidR="00531DA7" w:rsidRDefault="00531DA7" w:rsidP="003A4DA7">
      <w:pPr>
        <w:jc w:val="both"/>
      </w:pPr>
      <w:r w:rsidRPr="00531DA7">
        <w:rPr>
          <w:b/>
          <w:bCs/>
        </w:rPr>
        <w:t xml:space="preserve">Analýza trhu / nabídky / konzultace: </w:t>
      </w:r>
      <w:r w:rsidRPr="00531DA7">
        <w:t xml:space="preserve">Tato kategorie zahrnuje přístupy založené na externích tržních signálech: průzkumu trhu, nezávazných cenových nabídkách, srovnání ceníků nebo konzultacích s dodavateli. Vnitřně jde o škálu od poměrně formálního oslovení trhu (např. sběr více cenových podkladů) až po méně formalizované „market </w:t>
      </w:r>
      <w:proofErr w:type="spellStart"/>
      <w:r w:rsidRPr="00531DA7">
        <w:t>sense-check</w:t>
      </w:r>
      <w:proofErr w:type="spellEnd"/>
      <w:r w:rsidRPr="00531DA7">
        <w:t>“, kdy se částka odvodí z obvyklých tržních cen nebo z indikativních zkušeností dodavatelského prostředí. Tržní metoda se obvykle objevuje u investic do technologií, digitalizace, infrastrukturních dodávek nebo jiných opatření, kde jsou náklady významně závislé na aktuálních cenách na trhu a kde historická data nemusí být přenositelná. Využívají ji také opatření s vazbou na veřejné zakázky, protože cenový podklad lze relativně snadno obhájit logikou „takto se to dnes pořizuje na trhu“.</w:t>
      </w:r>
    </w:p>
    <w:p w14:paraId="5436D763" w14:textId="7A574282" w:rsidR="00531DA7" w:rsidRPr="00531DA7" w:rsidRDefault="00531DA7" w:rsidP="003A4DA7">
      <w:pPr>
        <w:jc w:val="both"/>
      </w:pPr>
      <w:proofErr w:type="spellStart"/>
      <w:r w:rsidRPr="00531DA7">
        <w:rPr>
          <w:b/>
          <w:bCs/>
        </w:rPr>
        <w:t>Bottom</w:t>
      </w:r>
      <w:proofErr w:type="spellEnd"/>
      <w:r w:rsidRPr="00531DA7">
        <w:rPr>
          <w:b/>
          <w:bCs/>
        </w:rPr>
        <w:t xml:space="preserve">-up rozpad / draft budget: </w:t>
      </w:r>
      <w:proofErr w:type="spellStart"/>
      <w:r w:rsidRPr="00531DA7">
        <w:t>Bottom</w:t>
      </w:r>
      <w:proofErr w:type="spellEnd"/>
      <w:r w:rsidRPr="00531DA7">
        <w:t xml:space="preserve">-up </w:t>
      </w:r>
      <w:proofErr w:type="spellStart"/>
      <w:r w:rsidRPr="00531DA7">
        <w:t>costing</w:t>
      </w:r>
      <w:proofErr w:type="spellEnd"/>
      <w:r w:rsidRPr="00531DA7">
        <w:t xml:space="preserve"> znamená, že náklady jsou konstruovány „odspodu“ přes rozklad opatření na konkrétní nákladové položky, aktivity nebo fáze realizace. Do kategorie patří jak detailní rozpočtová práce (draft budget včetně položkového členění), tak i středně podrobný rozpad do hlavních nákladových bloků, pokud odpovídá logice realizace opatření. Důležitým znakem této metody je, že vyžaduje relativně jasnou představu o designu opatření a o tom, jaké kroky bude nutné realizovat. Tuto metodu typicky využívají složitější investice, nové typy intervencí nebo opatření, kde neexistují historické benchmarky a kde trh neposkytne jednoznačný cenový signál (např. kombinované programy, komplexní IT řešení, reformní opatření s více vrstvami implementace). Nejvýrazněji se pojí s opatřeními, která jsou systémová, etapová a implementačně složitá – typicky digitalizace veřejné správy, vývoj a rozvoj informačních systémů, elektronizace procesů, rozvoj veřejných služeb a administrativních kapacit. </w:t>
      </w:r>
    </w:p>
    <w:p w14:paraId="56F1C87B" w14:textId="6438EEB8" w:rsidR="00531DA7" w:rsidRPr="00531DA7" w:rsidRDefault="00531DA7" w:rsidP="003A4DA7">
      <w:pPr>
        <w:jc w:val="both"/>
      </w:pPr>
      <w:r w:rsidRPr="00531DA7">
        <w:rPr>
          <w:b/>
          <w:bCs/>
        </w:rPr>
        <w:t xml:space="preserve">Interní kalkulace / expertní odhad: </w:t>
      </w:r>
      <w:r w:rsidRPr="00531DA7">
        <w:t xml:space="preserve">Do této kategorie spadají přístupy, kdy </w:t>
      </w:r>
      <w:proofErr w:type="spellStart"/>
      <w:r w:rsidRPr="00531DA7">
        <w:t>costing</w:t>
      </w:r>
      <w:proofErr w:type="spellEnd"/>
      <w:r w:rsidRPr="00531DA7">
        <w:t xml:space="preserve"> vychází z interní odborné kalkulace, expertního odhadu nebo kvalifikované aproximace. Jde často o méně formálně podložené </w:t>
      </w:r>
      <w:proofErr w:type="gramStart"/>
      <w:r w:rsidRPr="00531DA7">
        <w:t>kalkulace - interní</w:t>
      </w:r>
      <w:proofErr w:type="gramEnd"/>
      <w:r w:rsidRPr="00531DA7">
        <w:t xml:space="preserve"> modely, odhady věcných gestorů nebo výpočty založené na předpokladech, které nejsou přímo převzaté z historie nebo trhu, ale jsou považovány za realistické vzhledem k povaze intervence. Vnitřně se liší mírou formalizace: někdy je expertní odhad podložený interními podklady, jindy jde spíše o kvalifikované expertní „nastřelení“. Typická je pro reformní, </w:t>
      </w:r>
      <w:r w:rsidRPr="00531DA7">
        <w:lastRenderedPageBreak/>
        <w:t xml:space="preserve">procesní nebo „měkká“ opatření, případně specifické investice, které jsou natolik unikátní, že je nelze přesně </w:t>
      </w:r>
      <w:proofErr w:type="spellStart"/>
      <w:r w:rsidRPr="00531DA7">
        <w:t>benchmarkovat</w:t>
      </w:r>
      <w:proofErr w:type="spellEnd"/>
      <w:r w:rsidRPr="00531DA7">
        <w:t xml:space="preserve">. </w:t>
      </w:r>
    </w:p>
    <w:p w14:paraId="14A4F685" w14:textId="789014E3" w:rsidR="00531DA7" w:rsidRPr="00531DA7" w:rsidRDefault="00531DA7" w:rsidP="003A4DA7">
      <w:pPr>
        <w:jc w:val="both"/>
      </w:pPr>
      <w:r w:rsidRPr="00531DA7">
        <w:rPr>
          <w:b/>
          <w:bCs/>
        </w:rPr>
        <w:t xml:space="preserve">Studie proveditelnosti / ad-hoc analýza: </w:t>
      </w:r>
      <w:r w:rsidRPr="00531DA7">
        <w:t xml:space="preserve">Tato kategorie reprezentuje případy, kdy </w:t>
      </w:r>
      <w:proofErr w:type="spellStart"/>
      <w:r w:rsidRPr="00531DA7">
        <w:t>costing</w:t>
      </w:r>
      <w:proofErr w:type="spellEnd"/>
      <w:r w:rsidRPr="00531DA7">
        <w:t xml:space="preserve"> stojí na konkrétním analytickém výstupu – typicky studii proveditelnosti, odborné analýze nebo jiném ad-hoc dokumentu, který slouží jako hlavní zdroj pro odhad nákladů. Jde o relativně náročnou metodu, protože vyžaduje vyšší časovou i kapacitní investici, a používala se proto pouze u omezeného počtu opatření, která jsou komplexní, riziková nebo politicky/ex ante citlivá, případně u investic, kde je potřeba detailní zdůvodnění rozsahu a nákladovosti – např. podpora digitalizace nebo komplexní investice do zdravotnické infrastruktury. </w:t>
      </w:r>
    </w:p>
    <w:p w14:paraId="51E4B41C" w14:textId="652F631D" w:rsidR="00531DA7" w:rsidRDefault="00531DA7" w:rsidP="00531DA7">
      <w:pPr>
        <w:jc w:val="both"/>
      </w:pPr>
      <w:r w:rsidRPr="00531DA7">
        <w:rPr>
          <w:b/>
          <w:bCs/>
        </w:rPr>
        <w:t xml:space="preserve">Jiné: </w:t>
      </w:r>
      <w:r w:rsidRPr="00531DA7">
        <w:t>atypické postupy, které se nevešly do hlavních skupin. Jde o případy, kdy je metodika kombinovaná nebo specifická (např. nestandardní způsob výpočtu, neobvyklý typ datové opory, případně zvláštní konstrukce daná povahou opatření) a konkrétně byly do této kategorie zahrnuty investice, které vycházejí z celoevropských programů a s nimi spojených propočtů.</w:t>
      </w:r>
    </w:p>
    <w:p w14:paraId="4D33E9F4" w14:textId="69D0014E" w:rsidR="00531DA7" w:rsidRDefault="00531DA7" w:rsidP="003A4DA7">
      <w:pPr>
        <w:ind w:right="-426"/>
        <w:rPr>
          <w:b/>
          <w:bCs/>
          <w:color w:val="215E99" w:themeColor="text2" w:themeTint="BF"/>
          <w:sz w:val="24"/>
          <w:szCs w:val="24"/>
        </w:rPr>
      </w:pPr>
      <w:r w:rsidRPr="00531DA7">
        <w:rPr>
          <w:b/>
          <w:bCs/>
          <w:color w:val="215E99" w:themeColor="text2" w:themeTint="BF"/>
          <w:sz w:val="24"/>
          <w:szCs w:val="24"/>
        </w:rPr>
        <w:t>Shrnutí napříč metodami: co se ukazuje jako klíčové podmínky a kde vzniká dobrá/špatná praxe</w:t>
      </w:r>
    </w:p>
    <w:p w14:paraId="4B9738BC" w14:textId="77777777" w:rsidR="0075477C" w:rsidRDefault="0075477C" w:rsidP="0075477C">
      <w:pPr>
        <w:pStyle w:val="Zkladntext"/>
        <w:spacing w:before="62"/>
        <w:ind w:left="0"/>
        <w:jc w:val="left"/>
      </w:pPr>
    </w:p>
    <w:tbl>
      <w:tblPr>
        <w:tblStyle w:val="TableNormal"/>
        <w:tblW w:w="9923" w:type="dxa"/>
        <w:tblInd w:w="-147" w:type="dxa"/>
        <w:tblBorders>
          <w:top w:val="single" w:sz="4" w:space="0" w:color="B59BDB"/>
          <w:left w:val="single" w:sz="4" w:space="0" w:color="B59BDB"/>
          <w:bottom w:val="single" w:sz="4" w:space="0" w:color="B59BDB"/>
          <w:right w:val="single" w:sz="4" w:space="0" w:color="B59BDB"/>
          <w:insideH w:val="single" w:sz="4" w:space="0" w:color="B59BDB"/>
          <w:insideV w:val="single" w:sz="4" w:space="0" w:color="B59BDB"/>
        </w:tblBorders>
        <w:tblLayout w:type="fixed"/>
        <w:tblLook w:val="01E0" w:firstRow="1" w:lastRow="1" w:firstColumn="1" w:lastColumn="1" w:noHBand="0" w:noVBand="0"/>
      </w:tblPr>
      <w:tblGrid>
        <w:gridCol w:w="1335"/>
        <w:gridCol w:w="1642"/>
        <w:gridCol w:w="1811"/>
        <w:gridCol w:w="1875"/>
        <w:gridCol w:w="1446"/>
        <w:gridCol w:w="1814"/>
      </w:tblGrid>
      <w:tr w:rsidR="0075477C" w14:paraId="52610A28" w14:textId="77777777" w:rsidTr="003A4DA7">
        <w:trPr>
          <w:trHeight w:val="695"/>
        </w:trPr>
        <w:tc>
          <w:tcPr>
            <w:tcW w:w="1335" w:type="dxa"/>
            <w:tcBorders>
              <w:bottom w:val="single" w:sz="12" w:space="0" w:color="9069C9"/>
            </w:tcBorders>
            <w:shd w:val="clear" w:color="auto" w:fill="F1F1F1"/>
          </w:tcPr>
          <w:p w14:paraId="03685DB1" w14:textId="77777777" w:rsidR="0075477C" w:rsidRDefault="0075477C" w:rsidP="00BB52F6">
            <w:pPr>
              <w:pStyle w:val="TableParagraph"/>
              <w:spacing w:before="119" w:line="264" w:lineRule="auto"/>
              <w:ind w:left="333" w:right="317" w:firstLine="33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Metoda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costingu</w:t>
            </w:r>
            <w:proofErr w:type="spellEnd"/>
          </w:p>
        </w:tc>
        <w:tc>
          <w:tcPr>
            <w:tcW w:w="1642" w:type="dxa"/>
            <w:tcBorders>
              <w:bottom w:val="single" w:sz="12" w:space="0" w:color="9069C9"/>
            </w:tcBorders>
            <w:shd w:val="clear" w:color="auto" w:fill="F1F1F1"/>
          </w:tcPr>
          <w:p w14:paraId="55DEF729" w14:textId="77777777" w:rsidR="0075477C" w:rsidRDefault="0075477C" w:rsidP="00BB52F6">
            <w:pPr>
              <w:pStyle w:val="TableParagraph"/>
              <w:spacing w:before="27"/>
              <w:ind w:left="0"/>
              <w:rPr>
                <w:sz w:val="18"/>
              </w:rPr>
            </w:pPr>
          </w:p>
          <w:p w14:paraId="65BCD202" w14:textId="77777777" w:rsidR="0075477C" w:rsidRDefault="0075477C" w:rsidP="00BB52F6">
            <w:pPr>
              <w:pStyle w:val="TableParagraph"/>
              <w:ind w:left="239"/>
              <w:rPr>
                <w:sz w:val="18"/>
              </w:rPr>
            </w:pPr>
            <w:r>
              <w:rPr>
                <w:sz w:val="18"/>
              </w:rPr>
              <w:t>Kdy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dává</w:t>
            </w:r>
            <w:r>
              <w:rPr>
                <w:spacing w:val="-2"/>
                <w:sz w:val="18"/>
              </w:rPr>
              <w:t xml:space="preserve"> smysl</w:t>
            </w:r>
          </w:p>
        </w:tc>
        <w:tc>
          <w:tcPr>
            <w:tcW w:w="1811" w:type="dxa"/>
            <w:tcBorders>
              <w:bottom w:val="single" w:sz="12" w:space="0" w:color="9069C9"/>
            </w:tcBorders>
            <w:shd w:val="clear" w:color="auto" w:fill="F1F1F1"/>
          </w:tcPr>
          <w:p w14:paraId="17D18912" w14:textId="77777777" w:rsidR="0075477C" w:rsidRDefault="0075477C" w:rsidP="00BB52F6">
            <w:pPr>
              <w:pStyle w:val="TableParagraph"/>
              <w:spacing w:before="119" w:line="264" w:lineRule="auto"/>
              <w:ind w:left="584" w:hanging="437"/>
              <w:rPr>
                <w:sz w:val="18"/>
              </w:rPr>
            </w:pPr>
            <w:r>
              <w:rPr>
                <w:sz w:val="18"/>
              </w:rPr>
              <w:t>Datové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procesní </w:t>
            </w:r>
            <w:r>
              <w:rPr>
                <w:spacing w:val="-2"/>
                <w:sz w:val="18"/>
              </w:rPr>
              <w:t>nároky</w:t>
            </w:r>
          </w:p>
        </w:tc>
        <w:tc>
          <w:tcPr>
            <w:tcW w:w="1875" w:type="dxa"/>
            <w:tcBorders>
              <w:bottom w:val="single" w:sz="12" w:space="0" w:color="9069C9"/>
            </w:tcBorders>
            <w:shd w:val="clear" w:color="auto" w:fill="F1F1F1"/>
          </w:tcPr>
          <w:p w14:paraId="5C84320F" w14:textId="77777777" w:rsidR="0075477C" w:rsidRDefault="0075477C" w:rsidP="00BB52F6">
            <w:pPr>
              <w:pStyle w:val="TableParagraph"/>
              <w:spacing w:before="27"/>
              <w:ind w:left="0"/>
              <w:rPr>
                <w:sz w:val="18"/>
              </w:rPr>
            </w:pPr>
          </w:p>
          <w:p w14:paraId="56813DF8" w14:textId="77777777" w:rsidR="0075477C" w:rsidRDefault="0075477C" w:rsidP="00BB52F6">
            <w:pPr>
              <w:pStyle w:val="TableParagraph"/>
              <w:ind w:left="339"/>
              <w:rPr>
                <w:sz w:val="18"/>
              </w:rPr>
            </w:pPr>
            <w:r>
              <w:rPr>
                <w:sz w:val="18"/>
              </w:rPr>
              <w:t>Typická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rizika</w:t>
            </w:r>
          </w:p>
        </w:tc>
        <w:tc>
          <w:tcPr>
            <w:tcW w:w="1446" w:type="dxa"/>
            <w:tcBorders>
              <w:bottom w:val="single" w:sz="12" w:space="0" w:color="9069C9"/>
            </w:tcBorders>
            <w:shd w:val="clear" w:color="auto" w:fill="F1F1F1"/>
          </w:tcPr>
          <w:p w14:paraId="373328BD" w14:textId="77777777" w:rsidR="0075477C" w:rsidRDefault="0075477C" w:rsidP="00BB52F6">
            <w:pPr>
              <w:pStyle w:val="TableParagraph"/>
              <w:spacing w:before="27"/>
              <w:ind w:left="0"/>
              <w:rPr>
                <w:sz w:val="18"/>
              </w:rPr>
            </w:pPr>
          </w:p>
          <w:p w14:paraId="40AEA5BD" w14:textId="77777777" w:rsidR="0075477C" w:rsidRDefault="0075477C" w:rsidP="00BB52F6">
            <w:pPr>
              <w:pStyle w:val="TableParagraph"/>
              <w:ind w:left="472"/>
              <w:rPr>
                <w:sz w:val="18"/>
              </w:rPr>
            </w:pPr>
            <w:r>
              <w:rPr>
                <w:spacing w:val="-2"/>
                <w:sz w:val="18"/>
              </w:rPr>
              <w:t>Výhody</w:t>
            </w:r>
          </w:p>
        </w:tc>
        <w:tc>
          <w:tcPr>
            <w:tcW w:w="1814" w:type="dxa"/>
            <w:tcBorders>
              <w:bottom w:val="single" w:sz="12" w:space="0" w:color="9069C9"/>
            </w:tcBorders>
            <w:shd w:val="clear" w:color="auto" w:fill="F1F1F1"/>
          </w:tcPr>
          <w:p w14:paraId="07191DA7" w14:textId="77777777" w:rsidR="0075477C" w:rsidRDefault="0075477C" w:rsidP="00BB52F6">
            <w:pPr>
              <w:pStyle w:val="TableParagraph"/>
              <w:spacing w:before="27"/>
              <w:ind w:left="0"/>
              <w:rPr>
                <w:sz w:val="18"/>
              </w:rPr>
            </w:pPr>
          </w:p>
          <w:p w14:paraId="699348E9" w14:textId="77777777" w:rsidR="0075477C" w:rsidRDefault="0075477C" w:rsidP="00BB52F6">
            <w:pPr>
              <w:pStyle w:val="TableParagraph"/>
              <w:ind w:left="333"/>
              <w:rPr>
                <w:sz w:val="18"/>
              </w:rPr>
            </w:pPr>
            <w:r>
              <w:rPr>
                <w:sz w:val="18"/>
              </w:rPr>
              <w:t>Dobrá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praxe</w:t>
            </w:r>
          </w:p>
        </w:tc>
      </w:tr>
      <w:tr w:rsidR="0075477C" w14:paraId="661116A7" w14:textId="77777777" w:rsidTr="003A4DA7">
        <w:trPr>
          <w:trHeight w:val="1943"/>
        </w:trPr>
        <w:tc>
          <w:tcPr>
            <w:tcW w:w="1335" w:type="dxa"/>
            <w:tcBorders>
              <w:top w:val="single" w:sz="12" w:space="0" w:color="9069C9"/>
              <w:bottom w:val="single" w:sz="12" w:space="0" w:color="9069C9"/>
            </w:tcBorders>
          </w:tcPr>
          <w:p w14:paraId="6FCF6F81" w14:textId="77777777" w:rsidR="0075477C" w:rsidRPr="003A4DA7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b/>
                <w:bCs/>
                <w:sz w:val="18"/>
                <w:szCs w:val="18"/>
                <w:lang w:val="cs-CZ"/>
              </w:rPr>
            </w:pPr>
            <w:r w:rsidRPr="003A4DA7">
              <w:rPr>
                <w:b/>
                <w:bCs/>
                <w:sz w:val="18"/>
                <w:szCs w:val="18"/>
                <w:lang w:val="cs-CZ"/>
              </w:rPr>
              <w:t>Historická data / zkušenost</w:t>
            </w:r>
          </w:p>
        </w:tc>
        <w:tc>
          <w:tcPr>
            <w:tcW w:w="1642" w:type="dxa"/>
            <w:tcBorders>
              <w:top w:val="single" w:sz="12" w:space="0" w:color="9069C9"/>
              <w:bottom w:val="single" w:sz="12" w:space="0" w:color="9069C9"/>
            </w:tcBorders>
          </w:tcPr>
          <w:p w14:paraId="03F592F1" w14:textId="079FF89E" w:rsidR="0075477C" w:rsidRPr="0075477C" w:rsidRDefault="0075477C" w:rsidP="0075477C">
            <w:pPr>
              <w:pStyle w:val="TableParagraph"/>
              <w:spacing w:line="186" w:lineRule="exact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Existují srovnatelné precedentní intervence (často kohezní / národní programy) a je možné je přenést do nového vymezení</w:t>
            </w:r>
          </w:p>
        </w:tc>
        <w:tc>
          <w:tcPr>
            <w:tcW w:w="1811" w:type="dxa"/>
            <w:tcBorders>
              <w:top w:val="single" w:sz="12" w:space="0" w:color="9069C9"/>
              <w:bottom w:val="single" w:sz="12" w:space="0" w:color="9069C9"/>
            </w:tcBorders>
          </w:tcPr>
          <w:p w14:paraId="4FF57864" w14:textId="1BCE61B9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Nestačí „čísla“ – je potřeba znát způsobilost, parametry výzev, definice výstupů, implementační režim; často nutné</w:t>
            </w:r>
            <w:r>
              <w:rPr>
                <w:sz w:val="18"/>
                <w:szCs w:val="18"/>
                <w:lang w:val="cs-CZ"/>
              </w:rPr>
              <w:t xml:space="preserve"> </w:t>
            </w:r>
            <w:r w:rsidRPr="0075477C">
              <w:rPr>
                <w:sz w:val="18"/>
                <w:szCs w:val="18"/>
                <w:lang w:val="cs-CZ"/>
              </w:rPr>
              <w:t>úpravy benchmark (</w:t>
            </w:r>
            <w:proofErr w:type="spellStart"/>
            <w:r w:rsidRPr="0075477C">
              <w:rPr>
                <w:sz w:val="18"/>
                <w:szCs w:val="18"/>
                <w:lang w:val="cs-CZ"/>
              </w:rPr>
              <w:t>scope</w:t>
            </w:r>
            <w:proofErr w:type="spellEnd"/>
            <w:r w:rsidRPr="0075477C">
              <w:rPr>
                <w:sz w:val="18"/>
                <w:szCs w:val="18"/>
                <w:lang w:val="cs-CZ"/>
              </w:rPr>
              <w:t>, uznatelnost,</w:t>
            </w:r>
          </w:p>
          <w:p w14:paraId="0EEB49EE" w14:textId="171874C3" w:rsidR="0075477C" w:rsidRPr="0075477C" w:rsidRDefault="0075477C" w:rsidP="0075477C">
            <w:pPr>
              <w:pStyle w:val="TableParagraph"/>
              <w:spacing w:line="207" w:lineRule="exact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inflace)</w:t>
            </w:r>
          </w:p>
        </w:tc>
        <w:tc>
          <w:tcPr>
            <w:tcW w:w="1875" w:type="dxa"/>
            <w:tcBorders>
              <w:top w:val="single" w:sz="12" w:space="0" w:color="9069C9"/>
              <w:bottom w:val="single" w:sz="12" w:space="0" w:color="9069C9"/>
            </w:tcBorders>
          </w:tcPr>
          <w:p w14:paraId="0B406DBA" w14:textId="174AC145" w:rsidR="0075477C" w:rsidRPr="0075477C" w:rsidRDefault="0075477C" w:rsidP="0075477C">
            <w:pPr>
              <w:pStyle w:val="TableParagraph"/>
              <w:spacing w:before="121" w:line="264" w:lineRule="auto"/>
              <w:ind w:left="107" w:right="161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Falešná analogie (tematicky podobné, ale jiné definice/indikátory/ uznatelnost) → benchmark přestane sedět; riziko zpřísnění očekávání EK na „auditní stopu“ transformace</w:t>
            </w:r>
          </w:p>
        </w:tc>
        <w:tc>
          <w:tcPr>
            <w:tcW w:w="1446" w:type="dxa"/>
            <w:tcBorders>
              <w:top w:val="single" w:sz="12" w:space="0" w:color="9069C9"/>
              <w:bottom w:val="single" w:sz="12" w:space="0" w:color="9069C9"/>
            </w:tcBorders>
          </w:tcPr>
          <w:p w14:paraId="41BE2CA5" w14:textId="77777777" w:rsidR="0075477C" w:rsidRPr="0075477C" w:rsidRDefault="0075477C" w:rsidP="0075477C">
            <w:pPr>
              <w:pStyle w:val="TableParagraph"/>
              <w:spacing w:before="121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Rychlé</w:t>
            </w:r>
          </w:p>
          <w:p w14:paraId="65D14D6B" w14:textId="1B4FFE92" w:rsidR="0075477C" w:rsidRPr="0075477C" w:rsidRDefault="0075477C" w:rsidP="0075477C">
            <w:pPr>
              <w:pStyle w:val="TableParagraph"/>
              <w:spacing w:before="21" w:line="264" w:lineRule="auto"/>
              <w:ind w:left="107" w:right="208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a srozumitelné; EK typicky vnímá jako robustní (</w:t>
            </w:r>
            <w:proofErr w:type="spellStart"/>
            <w:r w:rsidRPr="0075477C">
              <w:rPr>
                <w:sz w:val="18"/>
                <w:szCs w:val="18"/>
                <w:lang w:val="cs-CZ"/>
              </w:rPr>
              <w:t>auditovatelné</w:t>
            </w:r>
            <w:proofErr w:type="spellEnd"/>
            <w:r w:rsidRPr="0075477C">
              <w:rPr>
                <w:sz w:val="18"/>
                <w:szCs w:val="18"/>
                <w:lang w:val="cs-CZ"/>
              </w:rPr>
              <w:t xml:space="preserve"> reference), pokud je doložena přenositelnost</w:t>
            </w:r>
          </w:p>
        </w:tc>
        <w:tc>
          <w:tcPr>
            <w:tcW w:w="1814" w:type="dxa"/>
            <w:tcBorders>
              <w:top w:val="single" w:sz="12" w:space="0" w:color="9069C9"/>
              <w:bottom w:val="single" w:sz="12" w:space="0" w:color="9069C9"/>
            </w:tcBorders>
          </w:tcPr>
          <w:p w14:paraId="221DA35E" w14:textId="4420A3F7" w:rsidR="0075477C" w:rsidRPr="0075477C" w:rsidRDefault="0075477C" w:rsidP="0075477C">
            <w:pPr>
              <w:pStyle w:val="TableParagraph"/>
              <w:spacing w:before="121" w:line="264" w:lineRule="auto"/>
              <w:ind w:left="107" w:right="196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Test přenositelnosti: explicitně popsat shody/rozdíly + jak jsou promítnuty do přepočtu; historická čísla jako kotva, ne automatický přepis</w:t>
            </w:r>
          </w:p>
        </w:tc>
      </w:tr>
      <w:tr w:rsidR="0075477C" w14:paraId="20E25665" w14:textId="77777777" w:rsidTr="003A4DA7">
        <w:trPr>
          <w:trHeight w:val="405"/>
        </w:trPr>
        <w:tc>
          <w:tcPr>
            <w:tcW w:w="1335" w:type="dxa"/>
            <w:tcBorders>
              <w:top w:val="single" w:sz="12" w:space="0" w:color="9069C9"/>
            </w:tcBorders>
          </w:tcPr>
          <w:p w14:paraId="68AE20E2" w14:textId="4E49A09F" w:rsidR="0075477C" w:rsidRPr="003A4DA7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b/>
                <w:bCs/>
                <w:sz w:val="18"/>
                <w:szCs w:val="18"/>
                <w:lang w:val="cs-CZ"/>
              </w:rPr>
            </w:pPr>
            <w:r w:rsidRPr="003A4DA7">
              <w:rPr>
                <w:b/>
                <w:bCs/>
                <w:sz w:val="18"/>
                <w:szCs w:val="18"/>
                <w:lang w:val="cs-CZ"/>
              </w:rPr>
              <w:t>Jednotkové náklady / národní standardy (vč. ZMV, ceníky)</w:t>
            </w:r>
          </w:p>
        </w:tc>
        <w:tc>
          <w:tcPr>
            <w:tcW w:w="1642" w:type="dxa"/>
            <w:tcBorders>
              <w:top w:val="single" w:sz="12" w:space="0" w:color="9069C9"/>
            </w:tcBorders>
          </w:tcPr>
          <w:p w14:paraId="2E88F51F" w14:textId="73F1C917" w:rsidR="0075477C" w:rsidRPr="0075477C" w:rsidRDefault="0075477C" w:rsidP="0075477C">
            <w:pPr>
              <w:pStyle w:val="TableParagraph"/>
              <w:spacing w:before="121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Lze definovat stabilní a verifikovatelnou jednotku výstupu + existuje opora ceny (standard, ZMV, ceník);</w:t>
            </w:r>
          </w:p>
          <w:p w14:paraId="7B3067E6" w14:textId="57307B9B" w:rsidR="0075477C" w:rsidRPr="0075477C" w:rsidRDefault="0075477C" w:rsidP="0075477C">
            <w:pPr>
              <w:pStyle w:val="TableParagraph"/>
              <w:spacing w:before="121" w:line="186" w:lineRule="exact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u investic často vyžaduje vysokou připravenost</w:t>
            </w:r>
          </w:p>
        </w:tc>
        <w:tc>
          <w:tcPr>
            <w:tcW w:w="1811" w:type="dxa"/>
            <w:tcBorders>
              <w:top w:val="single" w:sz="12" w:space="0" w:color="9069C9"/>
            </w:tcBorders>
          </w:tcPr>
          <w:p w14:paraId="1E670586" w14:textId="56658CC5" w:rsidR="0075477C" w:rsidRPr="0075477C" w:rsidRDefault="0075477C" w:rsidP="0075477C">
            <w:pPr>
              <w:pStyle w:val="TableParagraph"/>
              <w:spacing w:before="121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 xml:space="preserve">Precizní definice jednotky (co je v jednotce); u staveb nutná </w:t>
            </w:r>
            <w:proofErr w:type="spellStart"/>
            <w:r w:rsidRPr="0075477C">
              <w:rPr>
                <w:sz w:val="18"/>
                <w:szCs w:val="18"/>
                <w:lang w:val="cs-CZ"/>
              </w:rPr>
              <w:t>granularita</w:t>
            </w:r>
            <w:proofErr w:type="spellEnd"/>
            <w:r w:rsidRPr="0075477C">
              <w:rPr>
                <w:sz w:val="18"/>
                <w:szCs w:val="18"/>
                <w:lang w:val="cs-CZ"/>
              </w:rPr>
              <w:t xml:space="preserve"> jako pro položkový rozpočet; u ZMV nutná analýza</w:t>
            </w:r>
            <w:r>
              <w:rPr>
                <w:sz w:val="18"/>
                <w:szCs w:val="18"/>
                <w:lang w:val="cs-CZ"/>
              </w:rPr>
              <w:t xml:space="preserve"> </w:t>
            </w:r>
            <w:r w:rsidRPr="0075477C">
              <w:rPr>
                <w:sz w:val="18"/>
                <w:szCs w:val="18"/>
                <w:lang w:val="cs-CZ"/>
              </w:rPr>
              <w:t>„skutečné analogie“</w:t>
            </w:r>
          </w:p>
          <w:p w14:paraId="0B0ECEAE" w14:textId="7EBD623F" w:rsidR="0075477C" w:rsidRPr="0075477C" w:rsidRDefault="0075477C" w:rsidP="0075477C">
            <w:pPr>
              <w:pStyle w:val="TableParagraph"/>
              <w:spacing w:before="121"/>
              <w:ind w:left="107"/>
              <w:jc w:val="both"/>
              <w:rPr>
                <w:sz w:val="18"/>
                <w:szCs w:val="18"/>
                <w:lang w:val="cs-CZ"/>
              </w:rPr>
            </w:pPr>
            <w:r>
              <w:rPr>
                <w:sz w:val="18"/>
                <w:szCs w:val="18"/>
                <w:lang w:val="cs-CZ"/>
              </w:rPr>
              <w:t xml:space="preserve"> </w:t>
            </w:r>
            <w:r w:rsidRPr="0075477C">
              <w:rPr>
                <w:sz w:val="18"/>
                <w:szCs w:val="18"/>
                <w:lang w:val="cs-CZ"/>
              </w:rPr>
              <w:t>se zdrojovým programem</w:t>
            </w:r>
          </w:p>
        </w:tc>
        <w:tc>
          <w:tcPr>
            <w:tcW w:w="1875" w:type="dxa"/>
            <w:tcBorders>
              <w:top w:val="single" w:sz="12" w:space="0" w:color="9069C9"/>
            </w:tcBorders>
          </w:tcPr>
          <w:p w14:paraId="521BA0E2" w14:textId="512507E8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 xml:space="preserve">Špatně zvolená jednotka / přílišná homogenizace → pod- /nadhodnocení; změna definice výstupu/indikátoru → rozpad vazby na </w:t>
            </w:r>
            <w:proofErr w:type="spellStart"/>
            <w:r w:rsidRPr="0075477C">
              <w:rPr>
                <w:sz w:val="18"/>
                <w:szCs w:val="18"/>
                <w:lang w:val="cs-CZ"/>
              </w:rPr>
              <w:t>costing</w:t>
            </w:r>
            <w:proofErr w:type="spellEnd"/>
            <w:r w:rsidRPr="0075477C">
              <w:rPr>
                <w:sz w:val="18"/>
                <w:szCs w:val="18"/>
                <w:lang w:val="cs-CZ"/>
              </w:rPr>
              <w:t>; u investic rigidita; u ZMV možné auditní zpochybnění metod; u „</w:t>
            </w:r>
            <w:proofErr w:type="spellStart"/>
            <w:r w:rsidRPr="0075477C">
              <w:rPr>
                <w:sz w:val="18"/>
                <w:szCs w:val="18"/>
                <w:lang w:val="cs-CZ"/>
              </w:rPr>
              <w:t>mandayů</w:t>
            </w:r>
            <w:proofErr w:type="spellEnd"/>
            <w:r w:rsidRPr="0075477C">
              <w:rPr>
                <w:sz w:val="18"/>
                <w:szCs w:val="18"/>
                <w:lang w:val="cs-CZ"/>
              </w:rPr>
              <w:t>“ napětí vstupy vs. výstupy</w:t>
            </w:r>
          </w:p>
        </w:tc>
        <w:tc>
          <w:tcPr>
            <w:tcW w:w="1446" w:type="dxa"/>
            <w:tcBorders>
              <w:top w:val="single" w:sz="12" w:space="0" w:color="9069C9"/>
            </w:tcBorders>
          </w:tcPr>
          <w:p w14:paraId="08F7D65F" w14:textId="47260FC9" w:rsidR="0075477C" w:rsidRPr="0075477C" w:rsidRDefault="0075477C" w:rsidP="0075477C">
            <w:pPr>
              <w:pStyle w:val="TableParagraph"/>
              <w:spacing w:before="121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Vysoká kompatibilita s výkonnostním modelem; podporuje standardizaci; obvykle jednodušší dokazování</w:t>
            </w:r>
          </w:p>
        </w:tc>
        <w:tc>
          <w:tcPr>
            <w:tcW w:w="1814" w:type="dxa"/>
            <w:tcBorders>
              <w:top w:val="single" w:sz="12" w:space="0" w:color="9069C9"/>
            </w:tcBorders>
          </w:tcPr>
          <w:p w14:paraId="26E7ACF1" w14:textId="221AB1DC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Jednotku definovat kvantitativně i kvalitativně (rozsah, parametry, uznatelnost) + dopředu navázat na důkazy; cíle raději vyšší počet jednotek (portfolio/buffer) než binární</w:t>
            </w:r>
            <w:r>
              <w:rPr>
                <w:sz w:val="18"/>
                <w:szCs w:val="18"/>
                <w:lang w:val="cs-CZ"/>
              </w:rPr>
              <w:t xml:space="preserve"> </w:t>
            </w:r>
            <w:r w:rsidRPr="0075477C">
              <w:rPr>
                <w:sz w:val="18"/>
                <w:szCs w:val="18"/>
                <w:lang w:val="cs-CZ"/>
              </w:rPr>
              <w:t>„1 kus“; možnost indexace inflací přímo v mechanice</w:t>
            </w:r>
          </w:p>
        </w:tc>
      </w:tr>
      <w:tr w:rsidR="0075477C" w14:paraId="371FB58D" w14:textId="77777777" w:rsidTr="003A4DA7">
        <w:trPr>
          <w:trHeight w:val="1943"/>
        </w:trPr>
        <w:tc>
          <w:tcPr>
            <w:tcW w:w="1335" w:type="dxa"/>
            <w:tcBorders>
              <w:top w:val="single" w:sz="12" w:space="0" w:color="9069C9"/>
            </w:tcBorders>
          </w:tcPr>
          <w:p w14:paraId="69B608C5" w14:textId="5684A85B" w:rsidR="0075477C" w:rsidRPr="003A4DA7" w:rsidRDefault="0075477C" w:rsidP="005F2A73">
            <w:pPr>
              <w:pStyle w:val="TableParagraph"/>
              <w:spacing w:before="121" w:line="264" w:lineRule="auto"/>
              <w:ind w:left="107" w:right="202"/>
              <w:jc w:val="both"/>
              <w:rPr>
                <w:b/>
                <w:bCs/>
                <w:sz w:val="18"/>
                <w:szCs w:val="18"/>
                <w:lang w:val="cs-CZ"/>
              </w:rPr>
            </w:pPr>
            <w:r w:rsidRPr="003A4DA7">
              <w:rPr>
                <w:b/>
                <w:bCs/>
                <w:sz w:val="18"/>
                <w:szCs w:val="18"/>
                <w:lang w:val="cs-CZ"/>
              </w:rPr>
              <w:t>Analýza trhu / nabídky / konzultace (vč. reference ze zakázek)</w:t>
            </w:r>
          </w:p>
        </w:tc>
        <w:tc>
          <w:tcPr>
            <w:tcW w:w="1642" w:type="dxa"/>
            <w:tcBorders>
              <w:top w:val="single" w:sz="12" w:space="0" w:color="9069C9"/>
            </w:tcBorders>
          </w:tcPr>
          <w:p w14:paraId="077B5592" w14:textId="3A3B857F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 xml:space="preserve">Opatření se bude pořizovat na trhu (VZ) a lze dostatečně specifikovat </w:t>
            </w:r>
            <w:proofErr w:type="spellStart"/>
            <w:r w:rsidRPr="0075477C">
              <w:rPr>
                <w:sz w:val="18"/>
                <w:szCs w:val="18"/>
                <w:lang w:val="cs-CZ"/>
              </w:rPr>
              <w:t>scope</w:t>
            </w:r>
            <w:proofErr w:type="spellEnd"/>
            <w:r w:rsidRPr="0075477C">
              <w:rPr>
                <w:sz w:val="18"/>
                <w:szCs w:val="18"/>
                <w:lang w:val="cs-CZ"/>
              </w:rPr>
              <w:t>, aby byly nabídky srovnatelné</w:t>
            </w:r>
          </w:p>
        </w:tc>
        <w:tc>
          <w:tcPr>
            <w:tcW w:w="1811" w:type="dxa"/>
            <w:tcBorders>
              <w:top w:val="single" w:sz="12" w:space="0" w:color="9069C9"/>
            </w:tcBorders>
          </w:tcPr>
          <w:p w14:paraId="187D3C32" w14:textId="77777777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Potřebná specifikace jako u zadávací dokumentace; u referencí</w:t>
            </w:r>
          </w:p>
          <w:p w14:paraId="218E7A03" w14:textId="177B0296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ze starších zakázek nutné zachytit objem, parametry, tržní situaci v čase</w:t>
            </w:r>
          </w:p>
        </w:tc>
        <w:tc>
          <w:tcPr>
            <w:tcW w:w="1875" w:type="dxa"/>
            <w:tcBorders>
              <w:top w:val="single" w:sz="12" w:space="0" w:color="9069C9"/>
            </w:tcBorders>
          </w:tcPr>
          <w:p w14:paraId="651F05B6" w14:textId="77777777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Volatilita / nepřenositelnost cen v čase;</w:t>
            </w:r>
          </w:p>
          <w:p w14:paraId="71EB92DD" w14:textId="0F36E6DE" w:rsidR="0075477C" w:rsidRPr="0075477C" w:rsidRDefault="0075477C" w:rsidP="005F2A73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při úpravách plnění se mění cena → nutná obhajoba</w:t>
            </w:r>
            <w:r w:rsidR="005F2A73">
              <w:rPr>
                <w:sz w:val="18"/>
                <w:szCs w:val="18"/>
                <w:lang w:val="cs-CZ"/>
              </w:rPr>
              <w:t xml:space="preserve"> </w:t>
            </w:r>
            <w:r w:rsidRPr="0075477C">
              <w:rPr>
                <w:sz w:val="18"/>
                <w:szCs w:val="18"/>
                <w:lang w:val="cs-CZ"/>
              </w:rPr>
              <w:t>„tržního signálu v čase“; riziko časové → nesplnění cílů; u historických zakázek riziko</w:t>
            </w:r>
            <w:r w:rsidR="005F2A73">
              <w:rPr>
                <w:sz w:val="18"/>
                <w:szCs w:val="18"/>
                <w:lang w:val="cs-CZ"/>
              </w:rPr>
              <w:t xml:space="preserve"> </w:t>
            </w:r>
            <w:r w:rsidRPr="0075477C">
              <w:rPr>
                <w:sz w:val="18"/>
                <w:szCs w:val="18"/>
                <w:lang w:val="cs-CZ"/>
              </w:rPr>
              <w:lastRenderedPageBreak/>
              <w:t>„přehřátí/selhání trhu“, kapacitní nedostupnost</w:t>
            </w:r>
          </w:p>
        </w:tc>
        <w:tc>
          <w:tcPr>
            <w:tcW w:w="1446" w:type="dxa"/>
            <w:tcBorders>
              <w:top w:val="single" w:sz="12" w:space="0" w:color="9069C9"/>
            </w:tcBorders>
          </w:tcPr>
          <w:p w14:paraId="756E16F4" w14:textId="2058357A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lastRenderedPageBreak/>
              <w:t>Externí ukotvení, intuitivně obhajitelné; realistická kotva tam, kde nefunguje historie</w:t>
            </w:r>
          </w:p>
        </w:tc>
        <w:tc>
          <w:tcPr>
            <w:tcW w:w="1814" w:type="dxa"/>
            <w:tcBorders>
              <w:top w:val="single" w:sz="12" w:space="0" w:color="9069C9"/>
            </w:tcBorders>
          </w:tcPr>
          <w:p w14:paraId="20363715" w14:textId="7C877AED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Kombinovat tržní signál s interním testem proveditelnosti (etapy, harmonogram, kapacity) + navázat na verifikační body (akceptace, uvedení</w:t>
            </w:r>
            <w:r w:rsidR="005F2A73">
              <w:rPr>
                <w:sz w:val="18"/>
                <w:szCs w:val="18"/>
                <w:lang w:val="cs-CZ"/>
              </w:rPr>
              <w:t xml:space="preserve"> </w:t>
            </w:r>
            <w:r w:rsidRPr="0075477C">
              <w:rPr>
                <w:sz w:val="18"/>
                <w:szCs w:val="18"/>
                <w:lang w:val="cs-CZ"/>
              </w:rPr>
              <w:t>do provozu);</w:t>
            </w:r>
          </w:p>
          <w:p w14:paraId="1B73736C" w14:textId="5AEBE63C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lastRenderedPageBreak/>
              <w:t>u starších zakázek vždy popsat kontext a případné úpravy (inflace, objem, změna trhu)</w:t>
            </w:r>
          </w:p>
        </w:tc>
      </w:tr>
      <w:tr w:rsidR="0075477C" w14:paraId="25EE21DB" w14:textId="77777777" w:rsidTr="003A4DA7">
        <w:trPr>
          <w:trHeight w:val="3079"/>
        </w:trPr>
        <w:tc>
          <w:tcPr>
            <w:tcW w:w="1335" w:type="dxa"/>
          </w:tcPr>
          <w:p w14:paraId="7FE5587C" w14:textId="77777777" w:rsidR="0075477C" w:rsidRPr="003A4DA7" w:rsidRDefault="0075477C" w:rsidP="005F2A73">
            <w:pPr>
              <w:pStyle w:val="TableParagraph"/>
              <w:spacing w:before="121" w:line="264" w:lineRule="auto"/>
              <w:ind w:left="107"/>
              <w:jc w:val="both"/>
              <w:rPr>
                <w:b/>
                <w:bCs/>
                <w:sz w:val="18"/>
                <w:szCs w:val="18"/>
                <w:lang w:val="cs-CZ"/>
              </w:rPr>
            </w:pPr>
            <w:proofErr w:type="spellStart"/>
            <w:r w:rsidRPr="003A4DA7">
              <w:rPr>
                <w:b/>
                <w:bCs/>
                <w:sz w:val="18"/>
                <w:szCs w:val="18"/>
                <w:lang w:val="cs-CZ"/>
              </w:rPr>
              <w:lastRenderedPageBreak/>
              <w:t>Bottom</w:t>
            </w:r>
            <w:proofErr w:type="spellEnd"/>
            <w:r w:rsidRPr="003A4DA7">
              <w:rPr>
                <w:b/>
                <w:bCs/>
                <w:sz w:val="18"/>
                <w:szCs w:val="18"/>
                <w:lang w:val="cs-CZ"/>
              </w:rPr>
              <w:t>-up rozpad / draft budget</w:t>
            </w:r>
          </w:p>
        </w:tc>
        <w:tc>
          <w:tcPr>
            <w:tcW w:w="1642" w:type="dxa"/>
          </w:tcPr>
          <w:p w14:paraId="0C2D5130" w14:textId="4FC1174C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Lze rozpadnout opatření na aktivity/položky/fáze a existuje kapacita pro projektovou přípravu; často default, když chybí historie i standardy</w:t>
            </w:r>
          </w:p>
        </w:tc>
        <w:tc>
          <w:tcPr>
            <w:tcW w:w="1811" w:type="dxa"/>
          </w:tcPr>
          <w:p w14:paraId="419059C8" w14:textId="77777777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Vysoké nároky: vstupy k budoucím nákladům (hlavní bloky, fáze, předpoklady rozsahu/kapacit); silná potřeba interní koordinace; nutné sladit s M&amp;T</w:t>
            </w:r>
          </w:p>
        </w:tc>
        <w:tc>
          <w:tcPr>
            <w:tcW w:w="1875" w:type="dxa"/>
          </w:tcPr>
          <w:p w14:paraId="59D12219" w14:textId="77777777" w:rsidR="0075477C" w:rsidRPr="0075477C" w:rsidRDefault="0075477C" w:rsidP="0075477C">
            <w:pPr>
              <w:pStyle w:val="TableParagraph"/>
              <w:spacing w:before="121" w:line="264" w:lineRule="auto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„Rozpočtový formalismus“ (položky) vs. NPO výkon (výstupy) → slabá vazba na M&amp;T;</w:t>
            </w:r>
          </w:p>
          <w:p w14:paraId="34288A76" w14:textId="191F6DAD" w:rsidR="0075477C" w:rsidRPr="005F2A73" w:rsidRDefault="0075477C" w:rsidP="005F2A73">
            <w:pPr>
              <w:pStyle w:val="TableParagraph"/>
              <w:spacing w:line="186" w:lineRule="exact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 xml:space="preserve">nesrovnatelnost napříč vlastníky komponent (různá </w:t>
            </w:r>
            <w:proofErr w:type="spellStart"/>
            <w:r w:rsidRPr="0075477C">
              <w:rPr>
                <w:sz w:val="18"/>
                <w:szCs w:val="18"/>
                <w:lang w:val="cs-CZ"/>
              </w:rPr>
              <w:t>granularita</w:t>
            </w:r>
            <w:proofErr w:type="spellEnd"/>
            <w:r w:rsidRPr="0075477C">
              <w:rPr>
                <w:sz w:val="18"/>
                <w:szCs w:val="18"/>
                <w:lang w:val="cs-CZ"/>
              </w:rPr>
              <w:t>, režie, admin); „riziko detailu“: příliš konkrétní rozpad</w:t>
            </w:r>
            <w:r w:rsidR="005F2A73">
              <w:rPr>
                <w:sz w:val="18"/>
                <w:szCs w:val="18"/>
                <w:lang w:val="cs-CZ"/>
              </w:rPr>
              <w:t xml:space="preserve"> </w:t>
            </w:r>
            <w:r w:rsidR="005F2A73" w:rsidRPr="005F2A73">
              <w:rPr>
                <w:sz w:val="18"/>
                <w:szCs w:val="18"/>
                <w:lang w:val="cs-CZ"/>
              </w:rPr>
              <w:t>zamyká implementaci a zvyšuje riziko revizí při změnách</w:t>
            </w:r>
          </w:p>
        </w:tc>
        <w:tc>
          <w:tcPr>
            <w:tcW w:w="1446" w:type="dxa"/>
          </w:tcPr>
          <w:p w14:paraId="551D13D0" w14:textId="650B900E" w:rsidR="0075477C" w:rsidRPr="0075477C" w:rsidRDefault="0075477C" w:rsidP="0075477C">
            <w:pPr>
              <w:pStyle w:val="TableParagraph"/>
              <w:spacing w:before="121"/>
              <w:ind w:left="107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Transparentní a „hmatatelná“ argumentace; vhodné pro komplexní/unikátní intervence; může včas odhalit úzká hrdla</w:t>
            </w:r>
          </w:p>
        </w:tc>
        <w:tc>
          <w:tcPr>
            <w:tcW w:w="1814" w:type="dxa"/>
          </w:tcPr>
          <w:p w14:paraId="3D5FF95C" w14:textId="3A2B1331" w:rsidR="0075477C" w:rsidRPr="0075477C" w:rsidRDefault="0075477C" w:rsidP="005F2A73">
            <w:pPr>
              <w:pStyle w:val="TableParagraph"/>
              <w:spacing w:line="186" w:lineRule="exact"/>
              <w:jc w:val="both"/>
              <w:rPr>
                <w:sz w:val="18"/>
                <w:szCs w:val="18"/>
                <w:lang w:val="cs-CZ"/>
              </w:rPr>
            </w:pPr>
            <w:r w:rsidRPr="0075477C">
              <w:rPr>
                <w:sz w:val="18"/>
                <w:szCs w:val="18"/>
                <w:lang w:val="cs-CZ"/>
              </w:rPr>
              <w:t>Rozpad dělat „nejen co stojí kolik“, ale jakým důkazem se prokáže, že etapa nastala; rozpočet mapovat na milníky (etapy/akceptace/ provozní uvedení) + držet evidenci</w:t>
            </w:r>
            <w:r w:rsidR="005F2A73">
              <w:rPr>
                <w:sz w:val="18"/>
                <w:szCs w:val="18"/>
                <w:lang w:val="cs-CZ"/>
              </w:rPr>
              <w:t xml:space="preserve"> </w:t>
            </w:r>
            <w:r w:rsidR="005F2A73" w:rsidRPr="005F2A73">
              <w:rPr>
                <w:sz w:val="18"/>
                <w:szCs w:val="18"/>
                <w:lang w:val="cs-CZ"/>
              </w:rPr>
              <w:t>předpokladů (auditní stopa)</w:t>
            </w:r>
          </w:p>
        </w:tc>
      </w:tr>
      <w:tr w:rsidR="0075477C" w14:paraId="52908522" w14:textId="77777777" w:rsidTr="003A4DA7">
        <w:trPr>
          <w:trHeight w:val="2743"/>
        </w:trPr>
        <w:tc>
          <w:tcPr>
            <w:tcW w:w="1335" w:type="dxa"/>
          </w:tcPr>
          <w:p w14:paraId="604C6FD7" w14:textId="53AC4401" w:rsidR="0075477C" w:rsidRPr="003A4DA7" w:rsidRDefault="0075477C" w:rsidP="005F2A73">
            <w:pPr>
              <w:pStyle w:val="TableParagraph"/>
              <w:spacing w:before="119"/>
              <w:ind w:left="57"/>
              <w:jc w:val="center"/>
              <w:rPr>
                <w:b/>
                <w:bCs/>
                <w:sz w:val="18"/>
                <w:lang w:val="cs-CZ"/>
              </w:rPr>
            </w:pPr>
            <w:r w:rsidRPr="003A4DA7">
              <w:rPr>
                <w:b/>
                <w:bCs/>
                <w:spacing w:val="-2"/>
                <w:sz w:val="18"/>
                <w:lang w:val="cs-CZ"/>
              </w:rPr>
              <w:t>Interní</w:t>
            </w:r>
            <w:r w:rsidR="005F2A73" w:rsidRPr="003A4DA7">
              <w:rPr>
                <w:b/>
                <w:bCs/>
                <w:spacing w:val="-2"/>
                <w:sz w:val="18"/>
                <w:lang w:val="cs-CZ"/>
              </w:rPr>
              <w:t xml:space="preserve"> </w:t>
            </w:r>
            <w:r w:rsidRPr="003A4DA7">
              <w:rPr>
                <w:b/>
                <w:bCs/>
                <w:spacing w:val="-2"/>
                <w:sz w:val="18"/>
                <w:lang w:val="cs-CZ"/>
              </w:rPr>
              <w:t>kalkulace</w:t>
            </w:r>
            <w:r w:rsidR="005F2A73" w:rsidRPr="003A4DA7">
              <w:rPr>
                <w:b/>
                <w:bCs/>
                <w:spacing w:val="-2"/>
                <w:sz w:val="18"/>
                <w:lang w:val="cs-CZ"/>
              </w:rPr>
              <w:t xml:space="preserve"> </w:t>
            </w:r>
            <w:r w:rsidRPr="003A4DA7">
              <w:rPr>
                <w:b/>
                <w:bCs/>
                <w:spacing w:val="-2"/>
                <w:sz w:val="18"/>
                <w:lang w:val="cs-CZ"/>
              </w:rPr>
              <w:t>/expertní</w:t>
            </w:r>
            <w:r w:rsidR="005F2A73" w:rsidRPr="003A4DA7">
              <w:rPr>
                <w:b/>
                <w:bCs/>
                <w:spacing w:val="-2"/>
                <w:sz w:val="18"/>
                <w:lang w:val="cs-CZ"/>
              </w:rPr>
              <w:t xml:space="preserve"> </w:t>
            </w:r>
            <w:r w:rsidRPr="003A4DA7">
              <w:rPr>
                <w:b/>
                <w:bCs/>
                <w:spacing w:val="-2"/>
                <w:sz w:val="18"/>
                <w:lang w:val="cs-CZ"/>
              </w:rPr>
              <w:t>odhad</w:t>
            </w:r>
          </w:p>
        </w:tc>
        <w:tc>
          <w:tcPr>
            <w:tcW w:w="1642" w:type="dxa"/>
          </w:tcPr>
          <w:p w14:paraId="6F6B6611" w14:textId="77777777" w:rsidR="0075477C" w:rsidRPr="005F2A73" w:rsidRDefault="0075477C" w:rsidP="00BB52F6">
            <w:pPr>
              <w:pStyle w:val="TableParagraph"/>
              <w:spacing w:before="119" w:line="264" w:lineRule="auto"/>
              <w:ind w:left="107" w:right="196"/>
              <w:rPr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 xml:space="preserve">Neexistuje spolehlivý </w:t>
            </w:r>
            <w:r w:rsidRPr="005F2A73">
              <w:rPr>
                <w:sz w:val="18"/>
                <w:lang w:val="cs-CZ"/>
              </w:rPr>
              <w:t>benchmark ani historie</w:t>
            </w:r>
            <w:r w:rsidRPr="005F2A73">
              <w:rPr>
                <w:spacing w:val="-15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a</w:t>
            </w:r>
            <w:r w:rsidRPr="005F2A73">
              <w:rPr>
                <w:spacing w:val="-12"/>
                <w:sz w:val="18"/>
                <w:lang w:val="cs-CZ"/>
              </w:rPr>
              <w:t xml:space="preserve"> </w:t>
            </w:r>
            <w:proofErr w:type="spellStart"/>
            <w:r w:rsidRPr="005F2A73">
              <w:rPr>
                <w:sz w:val="18"/>
                <w:lang w:val="cs-CZ"/>
              </w:rPr>
              <w:t>bottom</w:t>
            </w:r>
            <w:proofErr w:type="spellEnd"/>
            <w:r w:rsidRPr="005F2A73">
              <w:rPr>
                <w:sz w:val="18"/>
                <w:lang w:val="cs-CZ"/>
              </w:rPr>
              <w:t xml:space="preserve">-up by byl </w:t>
            </w:r>
            <w:r w:rsidRPr="005F2A73">
              <w:rPr>
                <w:spacing w:val="-2"/>
                <w:sz w:val="18"/>
                <w:lang w:val="cs-CZ"/>
              </w:rPr>
              <w:t xml:space="preserve">nepřiměřeně </w:t>
            </w:r>
            <w:r w:rsidRPr="005F2A73">
              <w:rPr>
                <w:sz w:val="18"/>
                <w:lang w:val="cs-CZ"/>
              </w:rPr>
              <w:t xml:space="preserve">náročný; typicky </w:t>
            </w:r>
            <w:r w:rsidRPr="005F2A73">
              <w:rPr>
                <w:spacing w:val="-2"/>
                <w:sz w:val="18"/>
                <w:lang w:val="cs-CZ"/>
              </w:rPr>
              <w:t>unikátní/procesní zásahy</w:t>
            </w:r>
          </w:p>
        </w:tc>
        <w:tc>
          <w:tcPr>
            <w:tcW w:w="1811" w:type="dxa"/>
          </w:tcPr>
          <w:p w14:paraId="063787A6" w14:textId="77777777" w:rsidR="0075477C" w:rsidRPr="005F2A73" w:rsidRDefault="0075477C" w:rsidP="00BB52F6">
            <w:pPr>
              <w:pStyle w:val="TableParagraph"/>
              <w:spacing w:before="119" w:line="264" w:lineRule="auto"/>
              <w:ind w:left="107" w:right="277"/>
              <w:rPr>
                <w:sz w:val="18"/>
                <w:lang w:val="cs-CZ"/>
              </w:rPr>
            </w:pPr>
            <w:r w:rsidRPr="005F2A73">
              <w:rPr>
                <w:sz w:val="18"/>
                <w:lang w:val="cs-CZ"/>
              </w:rPr>
              <w:t>Minimum</w:t>
            </w:r>
            <w:r w:rsidRPr="005F2A73">
              <w:rPr>
                <w:spacing w:val="-8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 xml:space="preserve">nutné: </w:t>
            </w:r>
            <w:r w:rsidRPr="005F2A73">
              <w:rPr>
                <w:spacing w:val="-2"/>
                <w:sz w:val="18"/>
                <w:lang w:val="cs-CZ"/>
              </w:rPr>
              <w:t xml:space="preserve">explicitní předpoklady </w:t>
            </w:r>
            <w:r w:rsidRPr="005F2A73">
              <w:rPr>
                <w:sz w:val="18"/>
                <w:lang w:val="cs-CZ"/>
              </w:rPr>
              <w:t>(</w:t>
            </w:r>
            <w:proofErr w:type="spellStart"/>
            <w:r w:rsidRPr="005F2A73">
              <w:rPr>
                <w:sz w:val="18"/>
                <w:lang w:val="cs-CZ"/>
              </w:rPr>
              <w:t>scope</w:t>
            </w:r>
            <w:proofErr w:type="spellEnd"/>
            <w:r w:rsidRPr="005F2A73">
              <w:rPr>
                <w:sz w:val="18"/>
                <w:lang w:val="cs-CZ"/>
              </w:rPr>
              <w:t>,</w:t>
            </w:r>
            <w:r w:rsidRPr="005F2A73">
              <w:rPr>
                <w:spacing w:val="-13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 xml:space="preserve">jednotky práce, kapacity, čas) pro auditní </w:t>
            </w:r>
            <w:r w:rsidRPr="005F2A73">
              <w:rPr>
                <w:spacing w:val="-2"/>
                <w:sz w:val="18"/>
                <w:lang w:val="cs-CZ"/>
              </w:rPr>
              <w:t>stopu</w:t>
            </w:r>
          </w:p>
        </w:tc>
        <w:tc>
          <w:tcPr>
            <w:tcW w:w="1875" w:type="dxa"/>
          </w:tcPr>
          <w:p w14:paraId="1B5BAD52" w14:textId="77777777" w:rsidR="0075477C" w:rsidRPr="005F2A73" w:rsidRDefault="0075477C" w:rsidP="00BB52F6">
            <w:pPr>
              <w:pStyle w:val="TableParagraph"/>
              <w:spacing w:before="119" w:line="264" w:lineRule="auto"/>
              <w:ind w:right="61"/>
              <w:rPr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 xml:space="preserve">Nízká přezkoumatelnost; </w:t>
            </w:r>
            <w:r w:rsidRPr="005F2A73">
              <w:rPr>
                <w:sz w:val="18"/>
                <w:lang w:val="cs-CZ"/>
              </w:rPr>
              <w:t>zranitelnost vůči změně</w:t>
            </w:r>
            <w:r w:rsidRPr="005F2A73">
              <w:rPr>
                <w:spacing w:val="-13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interpretace EK;</w:t>
            </w:r>
            <w:r w:rsidRPr="005F2A73">
              <w:rPr>
                <w:spacing w:val="-15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riziko</w:t>
            </w:r>
            <w:r w:rsidRPr="005F2A73">
              <w:rPr>
                <w:spacing w:val="-12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„alokace-</w:t>
            </w:r>
            <w:proofErr w:type="spellStart"/>
            <w:r w:rsidRPr="005F2A73">
              <w:rPr>
                <w:sz w:val="18"/>
                <w:lang w:val="cs-CZ"/>
              </w:rPr>
              <w:t>driven</w:t>
            </w:r>
            <w:proofErr w:type="spellEnd"/>
            <w:r w:rsidRPr="005F2A73">
              <w:rPr>
                <w:sz w:val="18"/>
                <w:lang w:val="cs-CZ"/>
              </w:rPr>
              <w:t>“ částky (podle dostupných peněz,</w:t>
            </w:r>
            <w:r w:rsidRPr="005F2A73">
              <w:rPr>
                <w:spacing w:val="-8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ne</w:t>
            </w:r>
            <w:r w:rsidRPr="005F2A73">
              <w:rPr>
                <w:spacing w:val="-8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nákladů)</w:t>
            </w:r>
          </w:p>
          <w:p w14:paraId="2714D73E" w14:textId="77777777" w:rsidR="0075477C" w:rsidRPr="005F2A73" w:rsidRDefault="0075477C" w:rsidP="00BB52F6">
            <w:pPr>
              <w:pStyle w:val="TableParagraph"/>
              <w:spacing w:line="264" w:lineRule="auto"/>
              <w:rPr>
                <w:sz w:val="18"/>
                <w:lang w:val="cs-CZ"/>
              </w:rPr>
            </w:pPr>
            <w:r w:rsidRPr="005F2A73">
              <w:rPr>
                <w:sz w:val="18"/>
                <w:lang w:val="cs-CZ"/>
              </w:rPr>
              <w:t xml:space="preserve">→ tlak na </w:t>
            </w:r>
            <w:r w:rsidRPr="005F2A73">
              <w:rPr>
                <w:spacing w:val="-2"/>
                <w:sz w:val="18"/>
                <w:lang w:val="cs-CZ"/>
              </w:rPr>
              <w:t>úpravy/nesplnění</w:t>
            </w:r>
          </w:p>
        </w:tc>
        <w:tc>
          <w:tcPr>
            <w:tcW w:w="1446" w:type="dxa"/>
          </w:tcPr>
          <w:p w14:paraId="65921EB1" w14:textId="77777777" w:rsidR="0075477C" w:rsidRPr="005F2A73" w:rsidRDefault="0075477C" w:rsidP="00BB52F6">
            <w:pPr>
              <w:pStyle w:val="TableParagraph"/>
              <w:spacing w:before="119" w:line="264" w:lineRule="auto"/>
              <w:ind w:left="105" w:right="268"/>
              <w:rPr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 xml:space="preserve">Flexibilní, </w:t>
            </w:r>
            <w:r w:rsidRPr="005F2A73">
              <w:rPr>
                <w:sz w:val="18"/>
                <w:lang w:val="cs-CZ"/>
              </w:rPr>
              <w:t>rychlé;</w:t>
            </w:r>
            <w:r w:rsidRPr="005F2A73">
              <w:rPr>
                <w:spacing w:val="-13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 xml:space="preserve">pokryje </w:t>
            </w:r>
            <w:r w:rsidRPr="005F2A73">
              <w:rPr>
                <w:spacing w:val="-2"/>
                <w:sz w:val="18"/>
                <w:lang w:val="cs-CZ"/>
              </w:rPr>
              <w:t>nestandardní zásahy</w:t>
            </w:r>
          </w:p>
        </w:tc>
        <w:tc>
          <w:tcPr>
            <w:tcW w:w="1814" w:type="dxa"/>
          </w:tcPr>
          <w:p w14:paraId="2C54F6E5" w14:textId="6344A048" w:rsidR="0075477C" w:rsidRPr="005F2A73" w:rsidRDefault="0075477C" w:rsidP="005F2A73">
            <w:pPr>
              <w:pStyle w:val="TableParagraph"/>
              <w:spacing w:before="119" w:line="264" w:lineRule="auto"/>
              <w:ind w:right="196"/>
              <w:rPr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>Odhad strukturovat (složky</w:t>
            </w:r>
            <w:r w:rsidR="005F2A73" w:rsidRPr="005F2A73">
              <w:rPr>
                <w:spacing w:val="-2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 xml:space="preserve">+ </w:t>
            </w:r>
            <w:r w:rsidRPr="005F2A73">
              <w:rPr>
                <w:spacing w:val="-2"/>
                <w:sz w:val="18"/>
                <w:lang w:val="cs-CZ"/>
              </w:rPr>
              <w:t>předpoklady</w:t>
            </w:r>
            <w:r w:rsidR="005F2A73" w:rsidRPr="005F2A73">
              <w:rPr>
                <w:spacing w:val="-2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+</w:t>
            </w:r>
            <w:r w:rsidRPr="005F2A73">
              <w:rPr>
                <w:spacing w:val="-2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zdroje</w:t>
            </w:r>
            <w:r w:rsidRPr="005F2A73">
              <w:rPr>
                <w:spacing w:val="-2"/>
                <w:sz w:val="18"/>
                <w:lang w:val="cs-CZ"/>
              </w:rPr>
              <w:t xml:space="preserve"> úsudku)</w:t>
            </w:r>
            <w:r w:rsidR="005F2A73" w:rsidRPr="005F2A73">
              <w:rPr>
                <w:spacing w:val="-2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a</w:t>
            </w:r>
            <w:r w:rsidRPr="005F2A73">
              <w:rPr>
                <w:spacing w:val="-1"/>
                <w:sz w:val="18"/>
                <w:lang w:val="cs-CZ"/>
              </w:rPr>
              <w:t xml:space="preserve"> </w:t>
            </w:r>
            <w:r w:rsidRPr="005F2A73">
              <w:rPr>
                <w:spacing w:val="-2"/>
                <w:sz w:val="18"/>
                <w:lang w:val="cs-CZ"/>
              </w:rPr>
              <w:t>navázat</w:t>
            </w:r>
            <w:r w:rsidR="005F2A73" w:rsidRPr="005F2A73">
              <w:rPr>
                <w:spacing w:val="-2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>na</w:t>
            </w:r>
            <w:r w:rsidRPr="005F2A73">
              <w:rPr>
                <w:spacing w:val="-13"/>
                <w:sz w:val="18"/>
                <w:lang w:val="cs-CZ"/>
              </w:rPr>
              <w:t xml:space="preserve"> </w:t>
            </w:r>
            <w:r w:rsidRPr="005F2A73">
              <w:rPr>
                <w:sz w:val="18"/>
                <w:lang w:val="cs-CZ"/>
              </w:rPr>
              <w:t xml:space="preserve">výstupy/milníky; dopředu vymezit, jaké důkazy budou </w:t>
            </w:r>
            <w:r w:rsidRPr="005F2A73">
              <w:rPr>
                <w:spacing w:val="-2"/>
                <w:sz w:val="18"/>
                <w:lang w:val="cs-CZ"/>
              </w:rPr>
              <w:t>akceptovatelné</w:t>
            </w:r>
          </w:p>
        </w:tc>
      </w:tr>
      <w:tr w:rsidR="005F2A73" w14:paraId="5468A452" w14:textId="77777777" w:rsidTr="003A4DA7">
        <w:trPr>
          <w:trHeight w:val="2743"/>
        </w:trPr>
        <w:tc>
          <w:tcPr>
            <w:tcW w:w="1335" w:type="dxa"/>
          </w:tcPr>
          <w:p w14:paraId="20289BB1" w14:textId="77777777" w:rsidR="005F2A73" w:rsidRPr="003A4DA7" w:rsidRDefault="005F2A73" w:rsidP="005F2A73">
            <w:pPr>
              <w:pStyle w:val="TableParagraph"/>
              <w:spacing w:before="121" w:line="264" w:lineRule="auto"/>
              <w:ind w:left="88" w:right="72" w:hanging="1"/>
              <w:jc w:val="center"/>
              <w:rPr>
                <w:b/>
                <w:bCs/>
                <w:spacing w:val="-2"/>
                <w:sz w:val="18"/>
                <w:lang w:val="cs-CZ"/>
              </w:rPr>
            </w:pPr>
            <w:r w:rsidRPr="003A4DA7">
              <w:rPr>
                <w:b/>
                <w:bCs/>
                <w:spacing w:val="-2"/>
                <w:sz w:val="18"/>
                <w:lang w:val="cs-CZ"/>
              </w:rPr>
              <w:t>Studie proveditelnosti</w:t>
            </w:r>
          </w:p>
          <w:p w14:paraId="4B32E205" w14:textId="50E98DB9" w:rsidR="005F2A73" w:rsidRPr="005F2A73" w:rsidRDefault="005F2A73" w:rsidP="005F2A73">
            <w:pPr>
              <w:pStyle w:val="TableParagraph"/>
              <w:spacing w:before="119"/>
              <w:ind w:left="57"/>
              <w:jc w:val="center"/>
              <w:rPr>
                <w:spacing w:val="-2"/>
                <w:sz w:val="18"/>
                <w:lang w:val="cs-CZ"/>
              </w:rPr>
            </w:pPr>
            <w:r w:rsidRPr="003A4DA7">
              <w:rPr>
                <w:b/>
                <w:bCs/>
                <w:spacing w:val="-2"/>
                <w:sz w:val="18"/>
                <w:lang w:val="cs-CZ"/>
              </w:rPr>
              <w:t>ad-hoc analýza</w:t>
            </w:r>
          </w:p>
        </w:tc>
        <w:tc>
          <w:tcPr>
            <w:tcW w:w="1642" w:type="dxa"/>
          </w:tcPr>
          <w:p w14:paraId="7A15C9D5" w14:textId="2AEEC36E" w:rsidR="005F2A73" w:rsidRPr="005F2A73" w:rsidRDefault="005F2A73" w:rsidP="005F2A73">
            <w:pPr>
              <w:pStyle w:val="TableParagraph"/>
              <w:spacing w:before="119" w:line="264" w:lineRule="auto"/>
              <w:ind w:left="107" w:right="196"/>
              <w:jc w:val="both"/>
              <w:rPr>
                <w:spacing w:val="-2"/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>Je čas/kapacita na samostatný analytický podklad (varianty, náklady); typicky jen výjimečně</w:t>
            </w:r>
          </w:p>
        </w:tc>
        <w:tc>
          <w:tcPr>
            <w:tcW w:w="1811" w:type="dxa"/>
          </w:tcPr>
          <w:p w14:paraId="30ECDF6D" w14:textId="247CB870" w:rsidR="005F2A73" w:rsidRPr="005F2A73" w:rsidRDefault="005F2A73" w:rsidP="005F2A73">
            <w:pPr>
              <w:pStyle w:val="TableParagraph"/>
              <w:spacing w:before="121" w:line="264" w:lineRule="auto"/>
              <w:ind w:left="107" w:right="331"/>
              <w:jc w:val="both"/>
              <w:rPr>
                <w:spacing w:val="-2"/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>Nejnáročnější na čas i peníze; výhodné, když studie současně popisuje etapy a výstupy</w:t>
            </w:r>
          </w:p>
        </w:tc>
        <w:tc>
          <w:tcPr>
            <w:tcW w:w="1875" w:type="dxa"/>
          </w:tcPr>
          <w:p w14:paraId="0A441392" w14:textId="5AE9E5B1" w:rsidR="005F2A73" w:rsidRPr="005F2A73" w:rsidRDefault="005F2A73" w:rsidP="005F2A73">
            <w:pPr>
              <w:pStyle w:val="TableParagraph"/>
              <w:spacing w:before="121" w:line="264" w:lineRule="auto"/>
              <w:ind w:right="161"/>
              <w:jc w:val="both"/>
              <w:rPr>
                <w:spacing w:val="-2"/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 xml:space="preserve">Nesoulad studie s finálním vymezením opatření po vyjednávání (indikátory, cílovky, </w:t>
            </w:r>
            <w:proofErr w:type="spellStart"/>
            <w:r w:rsidRPr="005F2A73">
              <w:rPr>
                <w:spacing w:val="-2"/>
                <w:sz w:val="18"/>
                <w:lang w:val="cs-CZ"/>
              </w:rPr>
              <w:t>scope</w:t>
            </w:r>
            <w:proofErr w:type="spellEnd"/>
            <w:r w:rsidRPr="005F2A73">
              <w:rPr>
                <w:spacing w:val="-2"/>
                <w:sz w:val="18"/>
                <w:lang w:val="cs-CZ"/>
              </w:rPr>
              <w:t>) → zastará; „zdání preciznosti“ vs. realita implementace; riziko požadavku na nezávislost dat/podkladů (nutno obhájit důvěryhodnost zdrojů)</w:t>
            </w:r>
          </w:p>
        </w:tc>
        <w:tc>
          <w:tcPr>
            <w:tcW w:w="1446" w:type="dxa"/>
          </w:tcPr>
          <w:p w14:paraId="70AF79A4" w14:textId="0EC2024D" w:rsidR="005F2A73" w:rsidRPr="005F2A73" w:rsidRDefault="005F2A73" w:rsidP="005F2A73">
            <w:pPr>
              <w:pStyle w:val="TableParagraph"/>
              <w:spacing w:before="121"/>
              <w:ind w:left="105"/>
              <w:rPr>
                <w:spacing w:val="-2"/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>Vysoká obhajitelnost u komplexních investic; silná argumentace pro přiměřenost</w:t>
            </w:r>
          </w:p>
        </w:tc>
        <w:tc>
          <w:tcPr>
            <w:tcW w:w="1814" w:type="dxa"/>
          </w:tcPr>
          <w:p w14:paraId="16DA6BDC" w14:textId="7ED2E06B" w:rsidR="005F2A73" w:rsidRPr="005F2A73" w:rsidRDefault="005F2A73" w:rsidP="005F2A73">
            <w:pPr>
              <w:pStyle w:val="TableParagraph"/>
              <w:spacing w:before="121" w:line="264" w:lineRule="auto"/>
              <w:ind w:right="143"/>
              <w:rPr>
                <w:spacing w:val="-2"/>
                <w:sz w:val="18"/>
                <w:lang w:val="cs-CZ"/>
              </w:rPr>
            </w:pPr>
            <w:r w:rsidRPr="005F2A73">
              <w:rPr>
                <w:spacing w:val="-2"/>
                <w:sz w:val="18"/>
                <w:lang w:val="cs-CZ"/>
              </w:rPr>
              <w:t>Studie jako součást konstrukce opatření (ne izolovaný dokument): provázat s milníky, lhůtami a verifikací; u dat a expertíz dopředu řešit validitu/nezávisl</w:t>
            </w:r>
            <w:r>
              <w:rPr>
                <w:spacing w:val="-2"/>
                <w:sz w:val="18"/>
                <w:lang w:val="cs-CZ"/>
              </w:rPr>
              <w:t>o</w:t>
            </w:r>
            <w:r w:rsidRPr="005F2A73">
              <w:rPr>
                <w:spacing w:val="-2"/>
                <w:sz w:val="18"/>
                <w:lang w:val="cs-CZ"/>
              </w:rPr>
              <w:t>st a očekávaný standard důkazu</w:t>
            </w:r>
          </w:p>
        </w:tc>
      </w:tr>
    </w:tbl>
    <w:p w14:paraId="60C13542" w14:textId="77777777" w:rsidR="00531DA7" w:rsidRPr="00531DA7" w:rsidRDefault="00531DA7" w:rsidP="00531DA7">
      <w:pPr>
        <w:rPr>
          <w:b/>
          <w:bCs/>
          <w:color w:val="215E99" w:themeColor="text2" w:themeTint="BF"/>
          <w:sz w:val="24"/>
          <w:szCs w:val="24"/>
        </w:rPr>
      </w:pPr>
    </w:p>
    <w:sectPr w:rsidR="00531DA7" w:rsidRPr="00531DA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0216" w14:textId="77777777" w:rsidR="00566C2A" w:rsidRDefault="00566C2A" w:rsidP="005F2A73">
      <w:pPr>
        <w:spacing w:after="0" w:line="240" w:lineRule="auto"/>
      </w:pPr>
      <w:r>
        <w:separator/>
      </w:r>
    </w:p>
  </w:endnote>
  <w:endnote w:type="continuationSeparator" w:id="0">
    <w:p w14:paraId="1CE22BE1" w14:textId="77777777" w:rsidR="00566C2A" w:rsidRDefault="00566C2A" w:rsidP="005F2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4328" w14:textId="23A26C9A" w:rsidR="0075477C" w:rsidRDefault="0075477C">
    <w:pPr>
      <w:pStyle w:val="Zkladntext"/>
      <w:spacing w:line="14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35E86" w14:textId="77777777" w:rsidR="00566C2A" w:rsidRDefault="00566C2A" w:rsidP="005F2A73">
      <w:pPr>
        <w:spacing w:after="0" w:line="240" w:lineRule="auto"/>
      </w:pPr>
      <w:r>
        <w:separator/>
      </w:r>
    </w:p>
  </w:footnote>
  <w:footnote w:type="continuationSeparator" w:id="0">
    <w:p w14:paraId="6AC30929" w14:textId="77777777" w:rsidR="00566C2A" w:rsidRDefault="00566C2A" w:rsidP="005F2A73">
      <w:pPr>
        <w:spacing w:after="0" w:line="240" w:lineRule="auto"/>
      </w:pPr>
      <w:r>
        <w:continuationSeparator/>
      </w:r>
    </w:p>
  </w:footnote>
  <w:footnote w:id="1">
    <w:p w14:paraId="0D34359F" w14:textId="39121DAC" w:rsidR="005F2A73" w:rsidRDefault="005F2A73" w:rsidP="003A4DA7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Vytvořeno na základě Analýzy</w:t>
      </w:r>
      <w:r w:rsidRPr="005F2A73">
        <w:t xml:space="preserve"> možných metodických přístupů ke </w:t>
      </w:r>
      <w:proofErr w:type="spellStart"/>
      <w:r w:rsidRPr="005F2A73">
        <w:t>costingu</w:t>
      </w:r>
      <w:proofErr w:type="spellEnd"/>
      <w:r w:rsidRPr="005F2A73">
        <w:t xml:space="preserve"> pro přípravu 2028+</w:t>
      </w:r>
      <w:r>
        <w:t xml:space="preserve"> (Národní orgán pro koordinaci, 2026) dostupné na </w:t>
      </w:r>
      <w:hyperlink r:id="rId1" w:history="1">
        <w:r w:rsidRPr="00A15C1F">
          <w:rPr>
            <w:rStyle w:val="Hypertextovodkaz"/>
          </w:rPr>
          <w:t>https://dotaceeu.cz/cs/evropske-fondy-v-cr/narodni-organ-pro-koordinaci/evaluace/evaluace-21-27/analyza-moznych-metodickych-pristupu-ke-costingu-p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74DF1" w14:textId="4E278E82" w:rsidR="00596DD5" w:rsidRPr="00596DD5" w:rsidRDefault="00596DD5" w:rsidP="00596DD5">
    <w:pPr>
      <w:pStyle w:val="Zhlav"/>
      <w:jc w:val="right"/>
      <w:rPr>
        <w:color w:val="808080" w:themeColor="background1" w:themeShade="80"/>
      </w:rPr>
    </w:pPr>
    <w:r w:rsidRPr="00596DD5">
      <w:rPr>
        <w:color w:val="808080" w:themeColor="background1" w:themeShade="80"/>
      </w:rPr>
      <w:t>Příloha k projektovému záměru pro přípravu 2028+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A7"/>
    <w:rsid w:val="00126C51"/>
    <w:rsid w:val="0028547A"/>
    <w:rsid w:val="00356BE3"/>
    <w:rsid w:val="003A4DA7"/>
    <w:rsid w:val="00531DA7"/>
    <w:rsid w:val="00566C2A"/>
    <w:rsid w:val="00596DD5"/>
    <w:rsid w:val="005F2A73"/>
    <w:rsid w:val="0075477C"/>
    <w:rsid w:val="008C1E0D"/>
    <w:rsid w:val="00AB2503"/>
    <w:rsid w:val="00DF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D45F01"/>
  <w15:chartTrackingRefBased/>
  <w15:docId w15:val="{884D1D50-8D57-4C12-B172-FE31CF08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31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31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31D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31D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31D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31D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31D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31D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31D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31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31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31D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31DA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31DA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31D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31D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31D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31DA7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31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31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31DA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31D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31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31D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31D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31DA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31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31DA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31DA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5477C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75477C"/>
    <w:pPr>
      <w:widowControl w:val="0"/>
      <w:autoSpaceDE w:val="0"/>
      <w:autoSpaceDN w:val="0"/>
      <w:spacing w:after="0" w:line="240" w:lineRule="auto"/>
      <w:ind w:left="282"/>
      <w:jc w:val="both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75477C"/>
    <w:rPr>
      <w:rFonts w:ascii="Arial" w:eastAsia="Arial" w:hAnsi="Arial" w:cs="Arial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ln"/>
    <w:uiPriority w:val="1"/>
    <w:qFormat/>
    <w:rsid w:val="0075477C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5F2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2A73"/>
  </w:style>
  <w:style w:type="paragraph" w:styleId="Zpat">
    <w:name w:val="footer"/>
    <w:basedOn w:val="Normln"/>
    <w:link w:val="ZpatChar"/>
    <w:uiPriority w:val="99"/>
    <w:unhideWhenUsed/>
    <w:rsid w:val="005F2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2A7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2A7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2A7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F2A73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5F2A7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2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taceeu.cz/cs/evropske-fondy-v-cr/narodni-organ-pro-koordinaci/evaluace/evaluace-21-27/analyza-moznych-metodickych-pristupu-ke-costingu-p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75D04-E400-4096-856A-3024B2804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1432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Knížová Jana, Ing.</dc:creator>
  <cp:keywords/>
  <dc:description/>
  <cp:lastModifiedBy>Adámková Jana, Mgr.</cp:lastModifiedBy>
  <cp:revision>2</cp:revision>
  <dcterms:created xsi:type="dcterms:W3CDTF">2026-09-02T05:51:00Z</dcterms:created>
  <dcterms:modified xsi:type="dcterms:W3CDTF">2026-09-02T05:51:00Z</dcterms:modified>
</cp:coreProperties>
</file>